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29C1" w14:textId="77777777" w:rsidR="00E36C9F" w:rsidRPr="00EC79BF" w:rsidRDefault="00E36C9F" w:rsidP="00E36C9F">
      <w:pPr>
        <w:jc w:val="center"/>
        <w:rPr>
          <w:b/>
          <w:bCs/>
        </w:rPr>
      </w:pPr>
      <w:r w:rsidRPr="00EC79BF">
        <w:rPr>
          <w:b/>
          <w:bCs/>
        </w:rPr>
        <w:t>DETAILS OF BOARD OF DIRECTORS &amp; KMP</w:t>
      </w:r>
    </w:p>
    <w:tbl>
      <w:tblPr>
        <w:tblStyle w:val="TableGrid"/>
        <w:tblW w:w="14490" w:type="dxa"/>
        <w:tblInd w:w="-815" w:type="dxa"/>
        <w:tblLook w:val="04A0" w:firstRow="1" w:lastRow="0" w:firstColumn="1" w:lastColumn="0" w:noHBand="0" w:noVBand="1"/>
      </w:tblPr>
      <w:tblGrid>
        <w:gridCol w:w="504"/>
        <w:gridCol w:w="2466"/>
        <w:gridCol w:w="7020"/>
        <w:gridCol w:w="2610"/>
        <w:gridCol w:w="1890"/>
      </w:tblGrid>
      <w:tr w:rsidR="00EC79BF" w14:paraId="65900CA4" w14:textId="77777777" w:rsidTr="001D0651">
        <w:tc>
          <w:tcPr>
            <w:tcW w:w="504" w:type="dxa"/>
            <w:shd w:val="clear" w:color="auto" w:fill="B4C6E7" w:themeFill="accent1" w:themeFillTint="66"/>
            <w:vAlign w:val="center"/>
          </w:tcPr>
          <w:p w14:paraId="0656C937" w14:textId="77777777" w:rsidR="00E36C9F" w:rsidRPr="00EC79BF" w:rsidRDefault="00E36C9F" w:rsidP="00EC79BF">
            <w:pPr>
              <w:jc w:val="center"/>
              <w:rPr>
                <w:b/>
                <w:bCs/>
              </w:rPr>
            </w:pPr>
            <w:r w:rsidRPr="00EC79BF">
              <w:rPr>
                <w:b/>
                <w:bCs/>
              </w:rPr>
              <w:t>Sr.</w:t>
            </w:r>
          </w:p>
          <w:p w14:paraId="580B4F43" w14:textId="6EE94707" w:rsidR="00E36C9F" w:rsidRPr="00EC79BF" w:rsidRDefault="00E36C9F" w:rsidP="00EC79BF">
            <w:pPr>
              <w:jc w:val="center"/>
              <w:rPr>
                <w:b/>
                <w:bCs/>
              </w:rPr>
            </w:pPr>
            <w:r w:rsidRPr="00EC79BF">
              <w:rPr>
                <w:b/>
                <w:bCs/>
              </w:rPr>
              <w:t>No</w:t>
            </w:r>
          </w:p>
        </w:tc>
        <w:tc>
          <w:tcPr>
            <w:tcW w:w="2466" w:type="dxa"/>
            <w:shd w:val="clear" w:color="auto" w:fill="B4C6E7" w:themeFill="accent1" w:themeFillTint="66"/>
            <w:vAlign w:val="center"/>
          </w:tcPr>
          <w:p w14:paraId="44EC9A1A" w14:textId="232C2111" w:rsidR="00E36C9F" w:rsidRPr="00EC79BF" w:rsidRDefault="00E36C9F" w:rsidP="00EC79BF">
            <w:pPr>
              <w:jc w:val="center"/>
              <w:rPr>
                <w:b/>
                <w:bCs/>
              </w:rPr>
            </w:pPr>
            <w:r w:rsidRPr="00EC79BF">
              <w:rPr>
                <w:b/>
                <w:bCs/>
              </w:rPr>
              <w:t>Name</w:t>
            </w:r>
          </w:p>
        </w:tc>
        <w:tc>
          <w:tcPr>
            <w:tcW w:w="7020" w:type="dxa"/>
            <w:shd w:val="clear" w:color="auto" w:fill="B4C6E7" w:themeFill="accent1" w:themeFillTint="66"/>
            <w:vAlign w:val="center"/>
          </w:tcPr>
          <w:p w14:paraId="43E0AC57" w14:textId="0E7395ED" w:rsidR="00E36C9F" w:rsidRPr="00EC79BF" w:rsidRDefault="00E36C9F" w:rsidP="00EC79BF">
            <w:pPr>
              <w:jc w:val="center"/>
              <w:rPr>
                <w:b/>
                <w:bCs/>
              </w:rPr>
            </w:pPr>
            <w:r w:rsidRPr="00EC79BF">
              <w:rPr>
                <w:b/>
                <w:bCs/>
              </w:rPr>
              <w:t>Brief Profile</w:t>
            </w:r>
          </w:p>
        </w:tc>
        <w:tc>
          <w:tcPr>
            <w:tcW w:w="2610" w:type="dxa"/>
            <w:shd w:val="clear" w:color="auto" w:fill="B4C6E7" w:themeFill="accent1" w:themeFillTint="66"/>
            <w:vAlign w:val="center"/>
          </w:tcPr>
          <w:p w14:paraId="1D4057BB" w14:textId="2CC0B83B" w:rsidR="00E36C9F" w:rsidRPr="00EC79BF" w:rsidRDefault="00E36C9F" w:rsidP="00EC79BF">
            <w:pPr>
              <w:jc w:val="center"/>
              <w:rPr>
                <w:b/>
                <w:bCs/>
              </w:rPr>
            </w:pPr>
            <w:r w:rsidRPr="00EC79BF">
              <w:rPr>
                <w:b/>
                <w:bCs/>
              </w:rPr>
              <w:t>Directorship</w:t>
            </w:r>
          </w:p>
        </w:tc>
        <w:tc>
          <w:tcPr>
            <w:tcW w:w="1890" w:type="dxa"/>
            <w:shd w:val="clear" w:color="auto" w:fill="B4C6E7" w:themeFill="accent1" w:themeFillTint="66"/>
            <w:vAlign w:val="center"/>
          </w:tcPr>
          <w:p w14:paraId="48725768" w14:textId="6DB650D2" w:rsidR="00E36C9F" w:rsidRPr="00EC79BF" w:rsidRDefault="00E36C9F" w:rsidP="00EC79BF">
            <w:pPr>
              <w:jc w:val="center"/>
              <w:rPr>
                <w:b/>
                <w:bCs/>
              </w:rPr>
            </w:pPr>
            <w:r w:rsidRPr="00EC79BF">
              <w:rPr>
                <w:b/>
                <w:bCs/>
              </w:rPr>
              <w:t>Full-time positions in Body Corporates</w:t>
            </w:r>
          </w:p>
        </w:tc>
      </w:tr>
      <w:tr w:rsidR="00E36C9F" w14:paraId="7DEB28C4" w14:textId="77777777" w:rsidTr="001D0651">
        <w:tc>
          <w:tcPr>
            <w:tcW w:w="504" w:type="dxa"/>
            <w:shd w:val="clear" w:color="auto" w:fill="D9E2F3" w:themeFill="accent1" w:themeFillTint="33"/>
          </w:tcPr>
          <w:p w14:paraId="06DF379F" w14:textId="4187E562" w:rsidR="00E36C9F" w:rsidRDefault="00E36C9F" w:rsidP="00E36C9F">
            <w:pPr>
              <w:jc w:val="center"/>
            </w:pPr>
            <w:r>
              <w:t>1</w:t>
            </w:r>
          </w:p>
        </w:tc>
        <w:tc>
          <w:tcPr>
            <w:tcW w:w="2466" w:type="dxa"/>
            <w:shd w:val="clear" w:color="auto" w:fill="D9E2F3" w:themeFill="accent1" w:themeFillTint="33"/>
          </w:tcPr>
          <w:p w14:paraId="6388E1C2" w14:textId="18597C01" w:rsidR="00E36C9F" w:rsidRDefault="00E36C9F" w:rsidP="00F16453">
            <w:r w:rsidRPr="00E36C9F">
              <w:t xml:space="preserve">Nitin </w:t>
            </w:r>
            <w:proofErr w:type="spellStart"/>
            <w:r w:rsidRPr="00E36C9F">
              <w:t>Rasiklal</w:t>
            </w:r>
            <w:proofErr w:type="spellEnd"/>
            <w:r w:rsidRPr="00E36C9F">
              <w:t xml:space="preserve"> Parekh</w:t>
            </w:r>
          </w:p>
          <w:p w14:paraId="3C657580" w14:textId="57810621" w:rsidR="00E36C9F" w:rsidRDefault="00E36C9F" w:rsidP="00F16453">
            <w:r>
              <w:t>(</w:t>
            </w:r>
            <w:r w:rsidRPr="00E36C9F">
              <w:t>Managing Director</w:t>
            </w:r>
            <w:r>
              <w:t>)</w:t>
            </w:r>
          </w:p>
        </w:tc>
        <w:tc>
          <w:tcPr>
            <w:tcW w:w="7020" w:type="dxa"/>
            <w:shd w:val="clear" w:color="auto" w:fill="D9E2F3" w:themeFill="accent1" w:themeFillTint="33"/>
          </w:tcPr>
          <w:p w14:paraId="1B5985D2" w14:textId="0E83E2C2" w:rsidR="00E36C9F" w:rsidRDefault="00210D6A" w:rsidP="00210D6A">
            <w:pPr>
              <w:jc w:val="both"/>
            </w:pPr>
            <w:r w:rsidRPr="00210D6A">
              <w:t xml:space="preserve">Mr. Nitin </w:t>
            </w:r>
            <w:proofErr w:type="spellStart"/>
            <w:r w:rsidRPr="00210D6A">
              <w:t>Rasiklal</w:t>
            </w:r>
            <w:proofErr w:type="spellEnd"/>
            <w:r w:rsidRPr="00210D6A">
              <w:t xml:space="preserve"> Parekh has over 30 years of experience in the forging industry. As Managing Director, he is responsible for the overall leadership, strategic planning, and business growth of the company.</w:t>
            </w:r>
          </w:p>
        </w:tc>
        <w:tc>
          <w:tcPr>
            <w:tcW w:w="2610" w:type="dxa"/>
            <w:shd w:val="clear" w:color="auto" w:fill="D9E2F3" w:themeFill="accent1" w:themeFillTint="33"/>
          </w:tcPr>
          <w:p w14:paraId="1B57EF31" w14:textId="606C347C" w:rsidR="00E36C9F" w:rsidRDefault="00AB38F3" w:rsidP="00AB38F3">
            <w:pPr>
              <w:pStyle w:val="ListParagraph"/>
              <w:numPr>
                <w:ilvl w:val="0"/>
                <w:numId w:val="1"/>
              </w:numPr>
              <w:ind w:left="348"/>
              <w:jc w:val="both"/>
            </w:pPr>
            <w:r w:rsidRPr="00AB38F3">
              <w:t>Aditya Forge Limited</w:t>
            </w:r>
          </w:p>
          <w:p w14:paraId="546F865B" w14:textId="62F6C13D" w:rsidR="00AB38F3" w:rsidRPr="00E36C9F" w:rsidRDefault="00AB38F3" w:rsidP="00AB38F3">
            <w:pPr>
              <w:pStyle w:val="ListParagraph"/>
              <w:numPr>
                <w:ilvl w:val="0"/>
                <w:numId w:val="1"/>
              </w:numPr>
              <w:ind w:left="348"/>
              <w:jc w:val="both"/>
            </w:pPr>
            <w:r w:rsidRPr="00AB38F3">
              <w:t>Nitin Profiles Pvt Ltd</w:t>
            </w:r>
          </w:p>
        </w:tc>
        <w:tc>
          <w:tcPr>
            <w:tcW w:w="1890" w:type="dxa"/>
            <w:shd w:val="clear" w:color="auto" w:fill="D9E2F3" w:themeFill="accent1" w:themeFillTint="33"/>
          </w:tcPr>
          <w:p w14:paraId="5B889F3C" w14:textId="25605A2E" w:rsidR="00AB38F3" w:rsidRDefault="00AB38F3" w:rsidP="00AB38F3">
            <w:pPr>
              <w:jc w:val="center"/>
            </w:pPr>
            <w:r w:rsidRPr="00AB38F3">
              <w:t>Aditya Forge Limited</w:t>
            </w:r>
          </w:p>
          <w:p w14:paraId="55822C52" w14:textId="77777777" w:rsidR="00E36C9F" w:rsidRPr="00E36C9F" w:rsidRDefault="00E36C9F" w:rsidP="00AB38F3">
            <w:pPr>
              <w:jc w:val="both"/>
            </w:pPr>
          </w:p>
        </w:tc>
      </w:tr>
      <w:tr w:rsidR="00E36C9F" w14:paraId="1145991E" w14:textId="77777777" w:rsidTr="001D0651">
        <w:tc>
          <w:tcPr>
            <w:tcW w:w="504" w:type="dxa"/>
            <w:shd w:val="clear" w:color="auto" w:fill="D9E2F3" w:themeFill="accent1" w:themeFillTint="33"/>
          </w:tcPr>
          <w:p w14:paraId="6D605BE3" w14:textId="1577B5F3" w:rsidR="00E36C9F" w:rsidRDefault="00E36C9F" w:rsidP="00E36C9F">
            <w:pPr>
              <w:jc w:val="center"/>
            </w:pPr>
            <w:r>
              <w:t>2</w:t>
            </w:r>
          </w:p>
        </w:tc>
        <w:tc>
          <w:tcPr>
            <w:tcW w:w="2466" w:type="dxa"/>
            <w:shd w:val="clear" w:color="auto" w:fill="D9E2F3" w:themeFill="accent1" w:themeFillTint="33"/>
          </w:tcPr>
          <w:p w14:paraId="7F32CE9F" w14:textId="08947CBF" w:rsidR="00E36C9F" w:rsidRDefault="00E36C9F" w:rsidP="00F16453">
            <w:r w:rsidRPr="00E36C9F">
              <w:t>Ruta Rohankumar Soni</w:t>
            </w:r>
          </w:p>
          <w:p w14:paraId="24B203B6" w14:textId="35481EAA" w:rsidR="00E36C9F" w:rsidRDefault="00E36C9F" w:rsidP="00F16453">
            <w:r>
              <w:t>(</w:t>
            </w:r>
            <w:r w:rsidRPr="00E36C9F">
              <w:t>Additional Director</w:t>
            </w:r>
            <w:r>
              <w:t>)</w:t>
            </w:r>
          </w:p>
        </w:tc>
        <w:tc>
          <w:tcPr>
            <w:tcW w:w="7020" w:type="dxa"/>
            <w:shd w:val="clear" w:color="auto" w:fill="D9E2F3" w:themeFill="accent1" w:themeFillTint="33"/>
          </w:tcPr>
          <w:p w14:paraId="5C45147D" w14:textId="1C06B7F6" w:rsidR="00E36C9F" w:rsidRDefault="00DB2161" w:rsidP="00210D6A">
            <w:pPr>
              <w:jc w:val="both"/>
            </w:pPr>
            <w:r w:rsidRPr="00DB2161">
              <w:t>Mrs. Ruta Rohankumar Soni, is a commerce graduate, and possess the requisite qualification and experience in various fields specifically corporate compliance and securities regulation</w:t>
            </w:r>
            <w:r>
              <w:t>.</w:t>
            </w:r>
          </w:p>
        </w:tc>
        <w:tc>
          <w:tcPr>
            <w:tcW w:w="2610" w:type="dxa"/>
            <w:shd w:val="clear" w:color="auto" w:fill="D9E2F3" w:themeFill="accent1" w:themeFillTint="33"/>
          </w:tcPr>
          <w:p w14:paraId="03862CAA" w14:textId="77777777" w:rsidR="00E36C9F" w:rsidRDefault="00DE59D6" w:rsidP="00DE59D6">
            <w:pPr>
              <w:pStyle w:val="ListParagraph"/>
              <w:numPr>
                <w:ilvl w:val="0"/>
                <w:numId w:val="3"/>
              </w:numPr>
              <w:ind w:left="348"/>
              <w:jc w:val="both"/>
            </w:pPr>
            <w:r w:rsidRPr="00DE59D6">
              <w:t>Aditya Forge Limited</w:t>
            </w:r>
          </w:p>
          <w:p w14:paraId="612FE22A" w14:textId="59D74482" w:rsidR="00DE59D6" w:rsidRPr="00E36C9F" w:rsidRDefault="00DE59D6" w:rsidP="00DE59D6">
            <w:pPr>
              <w:pStyle w:val="ListParagraph"/>
              <w:numPr>
                <w:ilvl w:val="0"/>
                <w:numId w:val="3"/>
              </w:numPr>
              <w:ind w:left="348"/>
              <w:jc w:val="both"/>
            </w:pPr>
            <w:r w:rsidRPr="00DE59D6">
              <w:t>SMR Jewels Limited</w:t>
            </w:r>
          </w:p>
        </w:tc>
        <w:tc>
          <w:tcPr>
            <w:tcW w:w="1890" w:type="dxa"/>
            <w:shd w:val="clear" w:color="auto" w:fill="D9E2F3" w:themeFill="accent1" w:themeFillTint="33"/>
          </w:tcPr>
          <w:p w14:paraId="05044E89" w14:textId="2DEDA8FD" w:rsidR="00E36C9F" w:rsidRPr="00E36C9F" w:rsidRDefault="001E417E" w:rsidP="00E36C9F">
            <w:pPr>
              <w:jc w:val="center"/>
            </w:pPr>
            <w:r>
              <w:t>-</w:t>
            </w:r>
          </w:p>
        </w:tc>
      </w:tr>
      <w:tr w:rsidR="00E36C9F" w14:paraId="3DDFBE8E" w14:textId="77777777" w:rsidTr="001D0651">
        <w:tc>
          <w:tcPr>
            <w:tcW w:w="504" w:type="dxa"/>
            <w:shd w:val="clear" w:color="auto" w:fill="D9E2F3" w:themeFill="accent1" w:themeFillTint="33"/>
          </w:tcPr>
          <w:p w14:paraId="19990BF2" w14:textId="2C8BDA7C" w:rsidR="00E36C9F" w:rsidRDefault="00E36C9F" w:rsidP="00E36C9F">
            <w:pPr>
              <w:jc w:val="center"/>
            </w:pPr>
            <w:r>
              <w:t>3</w:t>
            </w:r>
          </w:p>
        </w:tc>
        <w:tc>
          <w:tcPr>
            <w:tcW w:w="2466" w:type="dxa"/>
            <w:shd w:val="clear" w:color="auto" w:fill="D9E2F3" w:themeFill="accent1" w:themeFillTint="33"/>
          </w:tcPr>
          <w:p w14:paraId="49CB6FF2" w14:textId="1E7AD081" w:rsidR="00E36C9F" w:rsidRDefault="00E36C9F" w:rsidP="00F16453">
            <w:r w:rsidRPr="00E36C9F">
              <w:t xml:space="preserve">Kiran </w:t>
            </w:r>
            <w:proofErr w:type="spellStart"/>
            <w:r w:rsidRPr="00E36C9F">
              <w:t>Bhartabhai</w:t>
            </w:r>
            <w:proofErr w:type="spellEnd"/>
            <w:r w:rsidRPr="00E36C9F">
              <w:t xml:space="preserve"> Mistri</w:t>
            </w:r>
          </w:p>
          <w:p w14:paraId="1F6BF6D7" w14:textId="1E4C67AB" w:rsidR="00E36C9F" w:rsidRDefault="00E36C9F" w:rsidP="00F16453">
            <w:r>
              <w:t>(</w:t>
            </w:r>
            <w:r w:rsidRPr="00E36C9F">
              <w:t>Independent</w:t>
            </w:r>
            <w:r>
              <w:t xml:space="preserve"> Director)</w:t>
            </w:r>
          </w:p>
        </w:tc>
        <w:tc>
          <w:tcPr>
            <w:tcW w:w="7020" w:type="dxa"/>
            <w:shd w:val="clear" w:color="auto" w:fill="D9E2F3" w:themeFill="accent1" w:themeFillTint="33"/>
          </w:tcPr>
          <w:p w14:paraId="0BE96B3A" w14:textId="6C3E208A" w:rsidR="00E36C9F" w:rsidRDefault="00210D6A" w:rsidP="00210D6A">
            <w:pPr>
              <w:jc w:val="both"/>
            </w:pPr>
            <w:r w:rsidRPr="00210D6A">
              <w:t xml:space="preserve">Mr. Kiran </w:t>
            </w:r>
            <w:proofErr w:type="spellStart"/>
            <w:r w:rsidRPr="00210D6A">
              <w:t>Bhartabhai</w:t>
            </w:r>
            <w:proofErr w:type="spellEnd"/>
            <w:r w:rsidRPr="00210D6A">
              <w:t xml:space="preserve"> Mistri, also from Ahmedabad, Gujarat, serves as an Independent Director with a focus on effective communication and leadership. Holding certified vocational credentials, he offers valuable perspectives that support the board in strengthening governance mechanisms and decision-making processes.</w:t>
            </w:r>
          </w:p>
        </w:tc>
        <w:tc>
          <w:tcPr>
            <w:tcW w:w="2610" w:type="dxa"/>
            <w:shd w:val="clear" w:color="auto" w:fill="D9E2F3" w:themeFill="accent1" w:themeFillTint="33"/>
          </w:tcPr>
          <w:p w14:paraId="7CA032B2" w14:textId="5504B411" w:rsidR="001E417E" w:rsidRDefault="001E417E" w:rsidP="001E417E">
            <w:pPr>
              <w:pStyle w:val="ListParagraph"/>
              <w:numPr>
                <w:ilvl w:val="0"/>
                <w:numId w:val="4"/>
              </w:numPr>
              <w:ind w:left="348"/>
              <w:jc w:val="both"/>
            </w:pPr>
            <w:r w:rsidRPr="001E417E">
              <w:t>Aditya Forge Limited</w:t>
            </w:r>
          </w:p>
          <w:p w14:paraId="0EFCA707" w14:textId="36664188" w:rsidR="001E417E" w:rsidRDefault="001E417E" w:rsidP="001E417E">
            <w:pPr>
              <w:pStyle w:val="ListParagraph"/>
              <w:numPr>
                <w:ilvl w:val="0"/>
                <w:numId w:val="4"/>
              </w:numPr>
              <w:ind w:left="348"/>
              <w:jc w:val="both"/>
            </w:pPr>
            <w:r w:rsidRPr="001E417E">
              <w:t>Gallops Enterprise Limited</w:t>
            </w:r>
          </w:p>
          <w:p w14:paraId="14C350BD" w14:textId="0EADD147" w:rsidR="00E36C9F" w:rsidRPr="00E36C9F" w:rsidRDefault="001E417E" w:rsidP="001E417E">
            <w:pPr>
              <w:pStyle w:val="ListParagraph"/>
              <w:numPr>
                <w:ilvl w:val="0"/>
                <w:numId w:val="4"/>
              </w:numPr>
              <w:ind w:left="348"/>
              <w:jc w:val="both"/>
            </w:pPr>
            <w:r w:rsidRPr="001E417E">
              <w:t>Encode Packaging India Limited</w:t>
            </w:r>
          </w:p>
        </w:tc>
        <w:tc>
          <w:tcPr>
            <w:tcW w:w="1890" w:type="dxa"/>
            <w:shd w:val="clear" w:color="auto" w:fill="D9E2F3" w:themeFill="accent1" w:themeFillTint="33"/>
          </w:tcPr>
          <w:p w14:paraId="23FD0CC6" w14:textId="29B70AB3" w:rsidR="00E36C9F" w:rsidRPr="00E36C9F" w:rsidRDefault="001E417E" w:rsidP="00E36C9F">
            <w:pPr>
              <w:jc w:val="center"/>
            </w:pPr>
            <w:r>
              <w:t>-</w:t>
            </w:r>
          </w:p>
        </w:tc>
      </w:tr>
      <w:tr w:rsidR="00E36C9F" w14:paraId="00157ADF" w14:textId="77777777" w:rsidTr="001D0651">
        <w:tc>
          <w:tcPr>
            <w:tcW w:w="504" w:type="dxa"/>
            <w:shd w:val="clear" w:color="auto" w:fill="D9E2F3" w:themeFill="accent1" w:themeFillTint="33"/>
          </w:tcPr>
          <w:p w14:paraId="4EA104AD" w14:textId="0C498B29" w:rsidR="00E36C9F" w:rsidRDefault="00E36C9F" w:rsidP="00E36C9F">
            <w:pPr>
              <w:jc w:val="center"/>
            </w:pPr>
            <w:r>
              <w:t>4</w:t>
            </w:r>
          </w:p>
        </w:tc>
        <w:tc>
          <w:tcPr>
            <w:tcW w:w="2466" w:type="dxa"/>
            <w:shd w:val="clear" w:color="auto" w:fill="D9E2F3" w:themeFill="accent1" w:themeFillTint="33"/>
          </w:tcPr>
          <w:p w14:paraId="468B3E91" w14:textId="346999BF" w:rsidR="00E36C9F" w:rsidRDefault="00E36C9F" w:rsidP="00F16453">
            <w:r w:rsidRPr="00E36C9F">
              <w:t>Heera Lal Kumhar</w:t>
            </w:r>
          </w:p>
          <w:p w14:paraId="123D46C1" w14:textId="0B395787" w:rsidR="00E36C9F" w:rsidRDefault="00E36C9F" w:rsidP="00F16453">
            <w:r>
              <w:t>(Independent Director)</w:t>
            </w:r>
          </w:p>
        </w:tc>
        <w:tc>
          <w:tcPr>
            <w:tcW w:w="7020" w:type="dxa"/>
            <w:shd w:val="clear" w:color="auto" w:fill="D9E2F3" w:themeFill="accent1" w:themeFillTint="33"/>
          </w:tcPr>
          <w:p w14:paraId="53D00EC9" w14:textId="19952BDC" w:rsidR="00E36C9F" w:rsidRDefault="00210D6A" w:rsidP="00210D6A">
            <w:pPr>
              <w:jc w:val="both"/>
            </w:pPr>
            <w:r w:rsidRPr="00210D6A">
              <w:t>Mr. Heera Lal Kumhar, based in Ahmedabad, Gujarat, brings valuable experience and a strong command of communication and public speaking. With certified vocational qualifications, he actively supports the company’s governance framework and contributes to its strategic objectives.</w:t>
            </w:r>
          </w:p>
        </w:tc>
        <w:tc>
          <w:tcPr>
            <w:tcW w:w="2610" w:type="dxa"/>
            <w:shd w:val="clear" w:color="auto" w:fill="D9E2F3" w:themeFill="accent1" w:themeFillTint="33"/>
          </w:tcPr>
          <w:p w14:paraId="4D576320" w14:textId="4554826F" w:rsidR="00E36C9F" w:rsidRDefault="001E417E" w:rsidP="001E417E">
            <w:pPr>
              <w:pStyle w:val="ListParagraph"/>
              <w:numPr>
                <w:ilvl w:val="0"/>
                <w:numId w:val="5"/>
              </w:numPr>
              <w:ind w:left="348"/>
              <w:jc w:val="both"/>
            </w:pPr>
            <w:r w:rsidRPr="001E417E">
              <w:t>Aditya Forge Limited</w:t>
            </w:r>
          </w:p>
          <w:p w14:paraId="6FD42975" w14:textId="215708A2" w:rsidR="001E417E" w:rsidRPr="00E36C9F" w:rsidRDefault="001E417E" w:rsidP="001E417E">
            <w:pPr>
              <w:pStyle w:val="ListParagraph"/>
              <w:numPr>
                <w:ilvl w:val="0"/>
                <w:numId w:val="5"/>
              </w:numPr>
              <w:ind w:left="348"/>
              <w:jc w:val="both"/>
            </w:pPr>
            <w:r w:rsidRPr="001E417E">
              <w:t>Encode Packaging India Limited</w:t>
            </w:r>
          </w:p>
        </w:tc>
        <w:tc>
          <w:tcPr>
            <w:tcW w:w="1890" w:type="dxa"/>
            <w:shd w:val="clear" w:color="auto" w:fill="D9E2F3" w:themeFill="accent1" w:themeFillTint="33"/>
          </w:tcPr>
          <w:p w14:paraId="394751AF" w14:textId="341A7F51" w:rsidR="00E36C9F" w:rsidRPr="00E36C9F" w:rsidRDefault="006C7C9C" w:rsidP="00E36C9F">
            <w:pPr>
              <w:jc w:val="center"/>
            </w:pPr>
            <w:r>
              <w:t>-</w:t>
            </w:r>
          </w:p>
        </w:tc>
      </w:tr>
      <w:tr w:rsidR="00E36C9F" w14:paraId="673B2520" w14:textId="77777777" w:rsidTr="001D0651">
        <w:tc>
          <w:tcPr>
            <w:tcW w:w="504" w:type="dxa"/>
            <w:shd w:val="clear" w:color="auto" w:fill="D9E2F3" w:themeFill="accent1" w:themeFillTint="33"/>
          </w:tcPr>
          <w:p w14:paraId="22504C64" w14:textId="7C6C5BA3" w:rsidR="00E36C9F" w:rsidRDefault="00E36C9F" w:rsidP="00E36C9F">
            <w:pPr>
              <w:jc w:val="center"/>
            </w:pPr>
            <w:r>
              <w:t>5</w:t>
            </w:r>
          </w:p>
        </w:tc>
        <w:tc>
          <w:tcPr>
            <w:tcW w:w="2466" w:type="dxa"/>
            <w:shd w:val="clear" w:color="auto" w:fill="D9E2F3" w:themeFill="accent1" w:themeFillTint="33"/>
          </w:tcPr>
          <w:p w14:paraId="3BE7F0B5" w14:textId="6A2F6804" w:rsidR="00E36C9F" w:rsidRDefault="00E36C9F" w:rsidP="00F16453">
            <w:r w:rsidRPr="00E36C9F">
              <w:t xml:space="preserve">Priyanka </w:t>
            </w:r>
            <w:proofErr w:type="spellStart"/>
            <w:r w:rsidRPr="00E36C9F">
              <w:t>Bakhtyarpuri</w:t>
            </w:r>
            <w:proofErr w:type="spellEnd"/>
          </w:p>
          <w:p w14:paraId="7D8F5192" w14:textId="6A60009D" w:rsidR="00E36C9F" w:rsidRDefault="00E36C9F" w:rsidP="00F16453">
            <w:r>
              <w:t>(Company Secretary)</w:t>
            </w:r>
          </w:p>
        </w:tc>
        <w:tc>
          <w:tcPr>
            <w:tcW w:w="7020" w:type="dxa"/>
            <w:shd w:val="clear" w:color="auto" w:fill="D9E2F3" w:themeFill="accent1" w:themeFillTint="33"/>
          </w:tcPr>
          <w:p w14:paraId="7E39458C" w14:textId="70374E20" w:rsidR="00E36C9F" w:rsidRDefault="00DB2161" w:rsidP="00210D6A">
            <w:pPr>
              <w:jc w:val="both"/>
            </w:pPr>
            <w:r w:rsidRPr="00DB2161">
              <w:t xml:space="preserve">Ms. Priyanka </w:t>
            </w:r>
            <w:proofErr w:type="spellStart"/>
            <w:r w:rsidRPr="00DB2161">
              <w:t>Bakhtyarpuri</w:t>
            </w:r>
            <w:proofErr w:type="spellEnd"/>
            <w:r w:rsidRPr="00DB2161">
              <w:t xml:space="preserve"> is an Associate Member of the Institute of Company Secretaries of India (ICSI) having Membership Number ACS – 42896 and a Law Graduate (</w:t>
            </w:r>
            <w:proofErr w:type="gramStart"/>
            <w:r w:rsidRPr="00DB2161">
              <w:t>LL.B</w:t>
            </w:r>
            <w:proofErr w:type="gramEnd"/>
            <w:r w:rsidRPr="00DB2161">
              <w:t>) with over 7 years of experience in corporate governance, legal compliance, and regulatory affairs. She has extensive expertise in ensuring compliance with the Companies Act, 2013 and SEBI regulations, and in managing statutory filings and regulatory liaison.  She is proficient in board and shareholder management, drafting of legal and corporate documentation, share issuances and transfers, and handling complex corporate transactions. Her experience also includes government liaison, trademark and IP management, financial compliances, and loan and charge management. She brings strong compliance leadership and governance support to the organization.</w:t>
            </w:r>
          </w:p>
        </w:tc>
        <w:tc>
          <w:tcPr>
            <w:tcW w:w="2610" w:type="dxa"/>
            <w:shd w:val="clear" w:color="auto" w:fill="D9E2F3" w:themeFill="accent1" w:themeFillTint="33"/>
          </w:tcPr>
          <w:p w14:paraId="762E0145" w14:textId="3C5D5B00" w:rsidR="00E36C9F" w:rsidRPr="00E36C9F" w:rsidRDefault="00E65C4A" w:rsidP="00E36C9F">
            <w:pPr>
              <w:jc w:val="center"/>
            </w:pPr>
            <w:r>
              <w:t>-</w:t>
            </w:r>
          </w:p>
        </w:tc>
        <w:tc>
          <w:tcPr>
            <w:tcW w:w="1890" w:type="dxa"/>
            <w:shd w:val="clear" w:color="auto" w:fill="D9E2F3" w:themeFill="accent1" w:themeFillTint="33"/>
          </w:tcPr>
          <w:p w14:paraId="5DF3A62E" w14:textId="6478EEE8" w:rsidR="00E36C9F" w:rsidRPr="00E36C9F" w:rsidRDefault="00E65C4A" w:rsidP="00E36C9F">
            <w:pPr>
              <w:jc w:val="center"/>
            </w:pPr>
            <w:r>
              <w:t>-</w:t>
            </w:r>
          </w:p>
        </w:tc>
      </w:tr>
      <w:tr w:rsidR="00E36C9F" w14:paraId="40CF1615" w14:textId="77777777" w:rsidTr="001D0651">
        <w:tc>
          <w:tcPr>
            <w:tcW w:w="504" w:type="dxa"/>
            <w:shd w:val="clear" w:color="auto" w:fill="D9E2F3" w:themeFill="accent1" w:themeFillTint="33"/>
          </w:tcPr>
          <w:p w14:paraId="1F4DE20C" w14:textId="638EF5C0" w:rsidR="00E36C9F" w:rsidRDefault="00E36C9F" w:rsidP="00E36C9F">
            <w:pPr>
              <w:jc w:val="center"/>
            </w:pPr>
            <w:r>
              <w:t>6</w:t>
            </w:r>
          </w:p>
        </w:tc>
        <w:tc>
          <w:tcPr>
            <w:tcW w:w="2466" w:type="dxa"/>
            <w:shd w:val="clear" w:color="auto" w:fill="D9E2F3" w:themeFill="accent1" w:themeFillTint="33"/>
          </w:tcPr>
          <w:p w14:paraId="47A87248" w14:textId="492C7C2D" w:rsidR="00E36C9F" w:rsidRDefault="00E36C9F" w:rsidP="00F16453">
            <w:proofErr w:type="spellStart"/>
            <w:r w:rsidRPr="00E36C9F">
              <w:t>Yogeshkumar</w:t>
            </w:r>
            <w:proofErr w:type="spellEnd"/>
            <w:r w:rsidRPr="00E36C9F">
              <w:t xml:space="preserve"> </w:t>
            </w:r>
            <w:proofErr w:type="spellStart"/>
            <w:r w:rsidRPr="00E36C9F">
              <w:t>Sumanlal</w:t>
            </w:r>
            <w:proofErr w:type="spellEnd"/>
            <w:r w:rsidRPr="00E36C9F">
              <w:t xml:space="preserve"> Pujara</w:t>
            </w:r>
          </w:p>
          <w:p w14:paraId="09E5B3C4" w14:textId="7BFB0D0D" w:rsidR="00E36C9F" w:rsidRPr="00E36C9F" w:rsidRDefault="00E36C9F" w:rsidP="00F16453">
            <w:r>
              <w:t>(Chief Financial Officer)</w:t>
            </w:r>
          </w:p>
        </w:tc>
        <w:tc>
          <w:tcPr>
            <w:tcW w:w="7020" w:type="dxa"/>
            <w:shd w:val="clear" w:color="auto" w:fill="D9E2F3" w:themeFill="accent1" w:themeFillTint="33"/>
          </w:tcPr>
          <w:p w14:paraId="4C2E0BAB" w14:textId="29DD5946" w:rsidR="00E36C9F" w:rsidRDefault="00210D6A" w:rsidP="00210D6A">
            <w:pPr>
              <w:jc w:val="both"/>
            </w:pPr>
            <w:r w:rsidRPr="00210D6A">
              <w:t xml:space="preserve">Mr. </w:t>
            </w:r>
            <w:proofErr w:type="spellStart"/>
            <w:r w:rsidRPr="00210D6A">
              <w:t>Yogeshkumar</w:t>
            </w:r>
            <w:proofErr w:type="spellEnd"/>
            <w:r w:rsidRPr="00210D6A">
              <w:t xml:space="preserve"> </w:t>
            </w:r>
            <w:proofErr w:type="spellStart"/>
            <w:r w:rsidRPr="00210D6A">
              <w:t>sumanlal</w:t>
            </w:r>
            <w:proofErr w:type="spellEnd"/>
            <w:r w:rsidRPr="00210D6A">
              <w:t xml:space="preserve"> </w:t>
            </w:r>
            <w:proofErr w:type="spellStart"/>
            <w:r w:rsidRPr="00210D6A">
              <w:t>pujara</w:t>
            </w:r>
            <w:proofErr w:type="spellEnd"/>
            <w:r w:rsidRPr="00210D6A">
              <w:t xml:space="preserve"> oversees the financial operations of the company, including budgeting, compliance, audits, and financial strategy. He plays a vital role in resource planning and statutory reporting.</w:t>
            </w:r>
          </w:p>
        </w:tc>
        <w:tc>
          <w:tcPr>
            <w:tcW w:w="2610" w:type="dxa"/>
            <w:shd w:val="clear" w:color="auto" w:fill="D9E2F3" w:themeFill="accent1" w:themeFillTint="33"/>
          </w:tcPr>
          <w:p w14:paraId="1D827212" w14:textId="0E72274E" w:rsidR="00E36C9F" w:rsidRPr="00E36C9F" w:rsidRDefault="00E65C4A" w:rsidP="00E36C9F">
            <w:pPr>
              <w:jc w:val="center"/>
            </w:pPr>
            <w:r>
              <w:t>-</w:t>
            </w:r>
          </w:p>
        </w:tc>
        <w:tc>
          <w:tcPr>
            <w:tcW w:w="1890" w:type="dxa"/>
            <w:shd w:val="clear" w:color="auto" w:fill="D9E2F3" w:themeFill="accent1" w:themeFillTint="33"/>
          </w:tcPr>
          <w:p w14:paraId="305ED2F0" w14:textId="4C5A99D3" w:rsidR="00E36C9F" w:rsidRPr="00E36C9F" w:rsidRDefault="00E65C4A" w:rsidP="00E36C9F">
            <w:pPr>
              <w:jc w:val="center"/>
            </w:pPr>
            <w:r>
              <w:t>-</w:t>
            </w:r>
          </w:p>
        </w:tc>
      </w:tr>
    </w:tbl>
    <w:p w14:paraId="00025103" w14:textId="4AFC4176" w:rsidR="00E84F36" w:rsidRDefault="00E84F36" w:rsidP="00E36C9F">
      <w:pPr>
        <w:jc w:val="center"/>
      </w:pPr>
    </w:p>
    <w:sectPr w:rsidR="00E84F36" w:rsidSect="0000175A">
      <w:pgSz w:w="15840" w:h="12240" w:orient="landscape"/>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F79A9"/>
    <w:multiLevelType w:val="hybridMultilevel"/>
    <w:tmpl w:val="A56816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5442EC7"/>
    <w:multiLevelType w:val="hybridMultilevel"/>
    <w:tmpl w:val="2DFC6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0E44C7"/>
    <w:multiLevelType w:val="hybridMultilevel"/>
    <w:tmpl w:val="A56816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D461BE"/>
    <w:multiLevelType w:val="hybridMultilevel"/>
    <w:tmpl w:val="A56816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FA477F0"/>
    <w:multiLevelType w:val="hybridMultilevel"/>
    <w:tmpl w:val="A5681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78717">
    <w:abstractNumId w:val="4"/>
  </w:num>
  <w:num w:numId="2" w16cid:durableId="1577130676">
    <w:abstractNumId w:val="1"/>
  </w:num>
  <w:num w:numId="3" w16cid:durableId="240794248">
    <w:abstractNumId w:val="3"/>
  </w:num>
  <w:num w:numId="4" w16cid:durableId="940142158">
    <w:abstractNumId w:val="2"/>
  </w:num>
  <w:num w:numId="5" w16cid:durableId="18660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48"/>
    <w:rsid w:val="0000175A"/>
    <w:rsid w:val="000B3085"/>
    <w:rsid w:val="001114E0"/>
    <w:rsid w:val="001D0651"/>
    <w:rsid w:val="001E417E"/>
    <w:rsid w:val="00210D6A"/>
    <w:rsid w:val="006C7C9C"/>
    <w:rsid w:val="007412F4"/>
    <w:rsid w:val="007D3671"/>
    <w:rsid w:val="00AB0AE3"/>
    <w:rsid w:val="00AB38F3"/>
    <w:rsid w:val="00AE3572"/>
    <w:rsid w:val="00D358A5"/>
    <w:rsid w:val="00DB2161"/>
    <w:rsid w:val="00DE59D6"/>
    <w:rsid w:val="00E36C9F"/>
    <w:rsid w:val="00E65C4A"/>
    <w:rsid w:val="00E84F36"/>
    <w:rsid w:val="00E90948"/>
    <w:rsid w:val="00EC79BF"/>
    <w:rsid w:val="00F1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9CAD"/>
  <w15:chartTrackingRefBased/>
  <w15:docId w15:val="{76BAB6C8-7D30-4E3E-B7F8-E5573BAF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9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9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9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948"/>
    <w:rPr>
      <w:rFonts w:eastAsiaTheme="majorEastAsia" w:cstheme="majorBidi"/>
      <w:color w:val="272727" w:themeColor="text1" w:themeTint="D8"/>
    </w:rPr>
  </w:style>
  <w:style w:type="paragraph" w:styleId="Title">
    <w:name w:val="Title"/>
    <w:basedOn w:val="Normal"/>
    <w:next w:val="Normal"/>
    <w:link w:val="TitleChar"/>
    <w:uiPriority w:val="10"/>
    <w:qFormat/>
    <w:rsid w:val="00E9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948"/>
    <w:pPr>
      <w:spacing w:before="160"/>
      <w:jc w:val="center"/>
    </w:pPr>
    <w:rPr>
      <w:i/>
      <w:iCs/>
      <w:color w:val="404040" w:themeColor="text1" w:themeTint="BF"/>
    </w:rPr>
  </w:style>
  <w:style w:type="character" w:customStyle="1" w:styleId="QuoteChar">
    <w:name w:val="Quote Char"/>
    <w:basedOn w:val="DefaultParagraphFont"/>
    <w:link w:val="Quote"/>
    <w:uiPriority w:val="29"/>
    <w:rsid w:val="00E90948"/>
    <w:rPr>
      <w:i/>
      <w:iCs/>
      <w:color w:val="404040" w:themeColor="text1" w:themeTint="BF"/>
    </w:rPr>
  </w:style>
  <w:style w:type="paragraph" w:styleId="ListParagraph">
    <w:name w:val="List Paragraph"/>
    <w:basedOn w:val="Normal"/>
    <w:uiPriority w:val="34"/>
    <w:qFormat/>
    <w:rsid w:val="00E90948"/>
    <w:pPr>
      <w:ind w:left="720"/>
      <w:contextualSpacing/>
    </w:pPr>
  </w:style>
  <w:style w:type="character" w:styleId="IntenseEmphasis">
    <w:name w:val="Intense Emphasis"/>
    <w:basedOn w:val="DefaultParagraphFont"/>
    <w:uiPriority w:val="21"/>
    <w:qFormat/>
    <w:rsid w:val="00E90948"/>
    <w:rPr>
      <w:i/>
      <w:iCs/>
      <w:color w:val="2F5496" w:themeColor="accent1" w:themeShade="BF"/>
    </w:rPr>
  </w:style>
  <w:style w:type="paragraph" w:styleId="IntenseQuote">
    <w:name w:val="Intense Quote"/>
    <w:basedOn w:val="Normal"/>
    <w:next w:val="Normal"/>
    <w:link w:val="IntenseQuoteChar"/>
    <w:uiPriority w:val="30"/>
    <w:qFormat/>
    <w:rsid w:val="00E90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948"/>
    <w:rPr>
      <w:i/>
      <w:iCs/>
      <w:color w:val="2F5496" w:themeColor="accent1" w:themeShade="BF"/>
    </w:rPr>
  </w:style>
  <w:style w:type="character" w:styleId="IntenseReference">
    <w:name w:val="Intense Reference"/>
    <w:basedOn w:val="DefaultParagraphFont"/>
    <w:uiPriority w:val="32"/>
    <w:qFormat/>
    <w:rsid w:val="00E90948"/>
    <w:rPr>
      <w:b/>
      <w:bCs/>
      <w:smallCaps/>
      <w:color w:val="2F5496" w:themeColor="accent1" w:themeShade="BF"/>
      <w:spacing w:val="5"/>
    </w:rPr>
  </w:style>
  <w:style w:type="table" w:styleId="TableGrid">
    <w:name w:val="Table Grid"/>
    <w:basedOn w:val="TableNormal"/>
    <w:uiPriority w:val="39"/>
    <w:rsid w:val="00E3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2026-01-07T08:21:00Z</dcterms:created>
  <dcterms:modified xsi:type="dcterms:W3CDTF">2026-01-07T08:40:00Z</dcterms:modified>
</cp:coreProperties>
</file>